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3E" w:rsidRDefault="002F18F5">
      <w:pPr>
        <w:jc w:val="center"/>
        <w:rPr>
          <w:rFonts w:ascii="Times New Roman" w:eastAsia="Times New Roman" w:hAnsi="Times New Roman" w:cs="Times New Roman"/>
          <w:b/>
        </w:rPr>
      </w:pPr>
      <w:r>
        <w:rPr>
          <w:rFonts w:ascii="Times New Roman" w:eastAsia="Times New Roman" w:hAnsi="Times New Roman" w:cs="Times New Roman"/>
          <w:b/>
        </w:rPr>
        <w:t>Fidelity Checklist</w:t>
      </w:r>
    </w:p>
    <w:p w:rsidR="005E123E" w:rsidRDefault="002F18F5">
      <w:pPr>
        <w:jc w:val="center"/>
        <w:rPr>
          <w:rFonts w:ascii="Times New Roman" w:eastAsia="Times New Roman" w:hAnsi="Times New Roman" w:cs="Times New Roman"/>
        </w:rPr>
      </w:pPr>
      <w:r>
        <w:rPr>
          <w:rFonts w:ascii="Times New Roman" w:eastAsia="Times New Roman" w:hAnsi="Times New Roman" w:cs="Times New Roman"/>
        </w:rPr>
        <w:t>Combine Word Patterns to Build Compound Words</w:t>
      </w:r>
    </w:p>
    <w:p w:rsidR="005E123E" w:rsidRDefault="005E123E">
      <w:pPr>
        <w:jc w:val="center"/>
        <w:rPr>
          <w:rFonts w:ascii="Times New Roman" w:eastAsia="Times New Roman" w:hAnsi="Times New Roman" w:cs="Times New Roman"/>
        </w:rPr>
      </w:pPr>
    </w:p>
    <w:p w:rsidR="005E123E" w:rsidRDefault="002F18F5">
      <w:pPr>
        <w:ind w:firstLine="720"/>
        <w:rPr>
          <w:rFonts w:ascii="Times New Roman" w:eastAsia="Times New Roman" w:hAnsi="Times New Roman" w:cs="Times New Roman"/>
        </w:rPr>
      </w:pPr>
      <w:r>
        <w:rPr>
          <w:rFonts w:ascii="Times New Roman" w:eastAsia="Times New Roman" w:hAnsi="Times New Roman" w:cs="Times New Roman"/>
        </w:rPr>
        <w:t>Compound words come up everywhere in reading, no matter what level of education a student is at</w:t>
      </w:r>
      <w:r w:rsidR="009636FF">
        <w:rPr>
          <w:rFonts w:ascii="Times New Roman" w:eastAsia="Times New Roman" w:hAnsi="Times New Roman" w:cs="Times New Roman"/>
        </w:rPr>
        <w:t xml:space="preserve"> or experiencing</w:t>
      </w:r>
      <w:r>
        <w:rPr>
          <w:rFonts w:ascii="Times New Roman" w:eastAsia="Times New Roman" w:hAnsi="Times New Roman" w:cs="Times New Roman"/>
        </w:rPr>
        <w:t xml:space="preserve">. It is important to teach students at a young age to be able to recognize the pattern in these compound words </w:t>
      </w:r>
      <w:proofErr w:type="gramStart"/>
      <w:r>
        <w:rPr>
          <w:rFonts w:ascii="Times New Roman" w:eastAsia="Times New Roman" w:hAnsi="Times New Roman" w:cs="Times New Roman"/>
        </w:rPr>
        <w:t>to better understand</w:t>
      </w:r>
      <w:proofErr w:type="gramEnd"/>
      <w:r>
        <w:rPr>
          <w:rFonts w:ascii="Times New Roman" w:eastAsia="Times New Roman" w:hAnsi="Times New Roman" w:cs="Times New Roman"/>
        </w:rPr>
        <w:t xml:space="preserve"> how to decode them and comprehend them. Research shows that it is helpful to process the embedded morphemes within the prime morpheme when figuring </w:t>
      </w:r>
      <w:r w:rsidR="00750A6C">
        <w:rPr>
          <w:rFonts w:ascii="Times New Roman" w:eastAsia="Times New Roman" w:hAnsi="Times New Roman" w:cs="Times New Roman"/>
        </w:rPr>
        <w:t>out the whole word (Chamberlain</w:t>
      </w:r>
      <w:r>
        <w:rPr>
          <w:rFonts w:ascii="Times New Roman" w:eastAsia="Times New Roman" w:hAnsi="Times New Roman" w:cs="Times New Roman"/>
        </w:rPr>
        <w:t xml:space="preserve"> et al., 2011). When dissecting the different parts of a compound word it can help to figure out how to pronounce that word by looking at each morpheme that is included in the full word. This process works with compound wor</w:t>
      </w:r>
      <w:r w:rsidR="00750A6C">
        <w:rPr>
          <w:rFonts w:ascii="Times New Roman" w:eastAsia="Times New Roman" w:hAnsi="Times New Roman" w:cs="Times New Roman"/>
        </w:rPr>
        <w:t xml:space="preserve">ds but not </w:t>
      </w:r>
      <w:proofErr w:type="spellStart"/>
      <w:r w:rsidR="00750A6C">
        <w:rPr>
          <w:rFonts w:ascii="Times New Roman" w:eastAsia="Times New Roman" w:hAnsi="Times New Roman" w:cs="Times New Roman"/>
        </w:rPr>
        <w:t>pseudocompound</w:t>
      </w:r>
      <w:proofErr w:type="spellEnd"/>
      <w:r w:rsidR="00750A6C">
        <w:rPr>
          <w:rFonts w:ascii="Times New Roman" w:eastAsia="Times New Roman" w:hAnsi="Times New Roman" w:cs="Times New Roman"/>
        </w:rPr>
        <w:t xml:space="preserve"> words. F</w:t>
      </w:r>
      <w:r>
        <w:rPr>
          <w:rFonts w:ascii="Times New Roman" w:eastAsia="Times New Roman" w:hAnsi="Times New Roman" w:cs="Times New Roman"/>
        </w:rPr>
        <w:t xml:space="preserve">or example, </w:t>
      </w:r>
      <w:r>
        <w:rPr>
          <w:rFonts w:ascii="Times New Roman" w:eastAsia="Times New Roman" w:hAnsi="Times New Roman" w:cs="Times New Roman"/>
          <w:i/>
        </w:rPr>
        <w:t>applesauce</w:t>
      </w:r>
      <w:r>
        <w:rPr>
          <w:rFonts w:ascii="Times New Roman" w:eastAsia="Times New Roman" w:hAnsi="Times New Roman" w:cs="Times New Roman"/>
        </w:rPr>
        <w:t xml:space="preserve"> </w:t>
      </w:r>
      <w:proofErr w:type="gramStart"/>
      <w:r>
        <w:rPr>
          <w:rFonts w:ascii="Times New Roman" w:eastAsia="Times New Roman" w:hAnsi="Times New Roman" w:cs="Times New Roman"/>
        </w:rPr>
        <w:t>is made up</w:t>
      </w:r>
      <w:proofErr w:type="gramEnd"/>
      <w:r>
        <w:rPr>
          <w:rFonts w:ascii="Times New Roman" w:eastAsia="Times New Roman" w:hAnsi="Times New Roman" w:cs="Times New Roman"/>
        </w:rPr>
        <w:t xml:space="preserve"> of </w:t>
      </w:r>
      <w:r>
        <w:rPr>
          <w:rFonts w:ascii="Times New Roman" w:eastAsia="Times New Roman" w:hAnsi="Times New Roman" w:cs="Times New Roman"/>
          <w:i/>
        </w:rPr>
        <w:t>apple</w:t>
      </w:r>
      <w:r>
        <w:rPr>
          <w:rFonts w:ascii="Times New Roman" w:eastAsia="Times New Roman" w:hAnsi="Times New Roman" w:cs="Times New Roman"/>
        </w:rPr>
        <w:t xml:space="preserve"> and </w:t>
      </w:r>
      <w:r>
        <w:rPr>
          <w:rFonts w:ascii="Times New Roman" w:eastAsia="Times New Roman" w:hAnsi="Times New Roman" w:cs="Times New Roman"/>
          <w:i/>
        </w:rPr>
        <w:t>sauce,</w:t>
      </w:r>
      <w:r>
        <w:rPr>
          <w:rFonts w:ascii="Times New Roman" w:eastAsia="Times New Roman" w:hAnsi="Times New Roman" w:cs="Times New Roman"/>
        </w:rPr>
        <w:t xml:space="preserve"> but </w:t>
      </w:r>
      <w:r>
        <w:rPr>
          <w:rFonts w:ascii="Times New Roman" w:eastAsia="Times New Roman" w:hAnsi="Times New Roman" w:cs="Times New Roman"/>
          <w:i/>
        </w:rPr>
        <w:t>carpet</w:t>
      </w:r>
      <w:r>
        <w:rPr>
          <w:rFonts w:ascii="Times New Roman" w:eastAsia="Times New Roman" w:hAnsi="Times New Roman" w:cs="Times New Roman"/>
        </w:rPr>
        <w:t xml:space="preserve"> is not made up of </w:t>
      </w:r>
      <w:r>
        <w:rPr>
          <w:rFonts w:ascii="Times New Roman" w:eastAsia="Times New Roman" w:hAnsi="Times New Roman" w:cs="Times New Roman"/>
          <w:i/>
        </w:rPr>
        <w:t>car</w:t>
      </w:r>
      <w:r>
        <w:rPr>
          <w:rFonts w:ascii="Times New Roman" w:eastAsia="Times New Roman" w:hAnsi="Times New Roman" w:cs="Times New Roman"/>
        </w:rPr>
        <w:t xml:space="preserve"> and </w:t>
      </w:r>
      <w:r>
        <w:rPr>
          <w:rFonts w:ascii="Times New Roman" w:eastAsia="Times New Roman" w:hAnsi="Times New Roman" w:cs="Times New Roman"/>
          <w:i/>
        </w:rPr>
        <w:t>pet</w:t>
      </w:r>
      <w:r>
        <w:rPr>
          <w:rFonts w:ascii="Times New Roman" w:eastAsia="Times New Roman" w:hAnsi="Times New Roman" w:cs="Times New Roman"/>
        </w:rPr>
        <w:t xml:space="preserve"> (Chamberlain et al., 2011). </w:t>
      </w:r>
    </w:p>
    <w:p w:rsidR="005E123E" w:rsidRDefault="002F18F5">
      <w:pPr>
        <w:ind w:firstLine="720"/>
        <w:rPr>
          <w:rFonts w:ascii="Times New Roman" w:eastAsia="Times New Roman" w:hAnsi="Times New Roman" w:cs="Times New Roman"/>
        </w:rPr>
      </w:pPr>
      <w:r>
        <w:rPr>
          <w:rFonts w:ascii="Times New Roman" w:eastAsia="Times New Roman" w:hAnsi="Times New Roman" w:cs="Times New Roman"/>
        </w:rPr>
        <w:t xml:space="preserve">Compound words that </w:t>
      </w:r>
      <w:proofErr w:type="gramStart"/>
      <w:r>
        <w:rPr>
          <w:rFonts w:ascii="Times New Roman" w:eastAsia="Times New Roman" w:hAnsi="Times New Roman" w:cs="Times New Roman"/>
        </w:rPr>
        <w:t>are hyphenated</w:t>
      </w:r>
      <w:proofErr w:type="gramEnd"/>
      <w:r w:rsidR="00750A6C">
        <w:rPr>
          <w:rFonts w:ascii="Times New Roman" w:eastAsia="Times New Roman" w:hAnsi="Times New Roman" w:cs="Times New Roman"/>
        </w:rPr>
        <w:t>,</w:t>
      </w:r>
      <w:r>
        <w:rPr>
          <w:rFonts w:ascii="Times New Roman" w:eastAsia="Times New Roman" w:hAnsi="Times New Roman" w:cs="Times New Roman"/>
        </w:rPr>
        <w:t xml:space="preserve"> versus </w:t>
      </w:r>
      <w:proofErr w:type="spellStart"/>
      <w:r>
        <w:rPr>
          <w:rFonts w:ascii="Times New Roman" w:eastAsia="Times New Roman" w:hAnsi="Times New Roman" w:cs="Times New Roman"/>
        </w:rPr>
        <w:t>nonhyphenated</w:t>
      </w:r>
      <w:proofErr w:type="spellEnd"/>
      <w:r>
        <w:rPr>
          <w:rFonts w:ascii="Times New Roman" w:eastAsia="Times New Roman" w:hAnsi="Times New Roman" w:cs="Times New Roman"/>
        </w:rPr>
        <w:t xml:space="preserve"> words</w:t>
      </w:r>
      <w:r w:rsidR="00750A6C">
        <w:rPr>
          <w:rFonts w:ascii="Times New Roman" w:eastAsia="Times New Roman" w:hAnsi="Times New Roman" w:cs="Times New Roman"/>
        </w:rPr>
        <w:t>,</w:t>
      </w:r>
      <w:r>
        <w:rPr>
          <w:rFonts w:ascii="Times New Roman" w:eastAsia="Times New Roman" w:hAnsi="Times New Roman" w:cs="Times New Roman"/>
        </w:rPr>
        <w:t xml:space="preserve"> have also been researched and a pattern seems to have emerged whether it makes it harder or not. </w:t>
      </w:r>
      <w:proofErr w:type="spellStart"/>
      <w:r>
        <w:rPr>
          <w:rFonts w:ascii="Times New Roman" w:eastAsia="Times New Roman" w:hAnsi="Times New Roman" w:cs="Times New Roman"/>
        </w:rPr>
        <w:t>Haikio</w:t>
      </w:r>
      <w:proofErr w:type="spellEnd"/>
      <w:r>
        <w:rPr>
          <w:rFonts w:ascii="Times New Roman" w:eastAsia="Times New Roman" w:hAnsi="Times New Roman" w:cs="Times New Roman"/>
        </w:rPr>
        <w:t xml:space="preserve"> et al. (2020) suggest</w:t>
      </w:r>
      <w:r w:rsidR="00D74C60">
        <w:rPr>
          <w:rFonts w:ascii="Times New Roman" w:eastAsia="Times New Roman" w:hAnsi="Times New Roman" w:cs="Times New Roman"/>
        </w:rPr>
        <w:t xml:space="preserve"> </w:t>
      </w:r>
      <w:r>
        <w:rPr>
          <w:rFonts w:ascii="Times New Roman" w:eastAsia="Times New Roman" w:hAnsi="Times New Roman" w:cs="Times New Roman"/>
        </w:rPr>
        <w:t xml:space="preserve">younger students find it helpful when figuring out the embedded morphemes for morpheme-based processing to see the word hyphenated but </w:t>
      </w:r>
      <w:r w:rsidR="00D74C60">
        <w:rPr>
          <w:rFonts w:ascii="Times New Roman" w:eastAsia="Times New Roman" w:hAnsi="Times New Roman" w:cs="Times New Roman"/>
        </w:rPr>
        <w:t xml:space="preserve">they say this </w:t>
      </w:r>
      <w:r>
        <w:rPr>
          <w:rFonts w:ascii="Times New Roman" w:eastAsia="Times New Roman" w:hAnsi="Times New Roman" w:cs="Times New Roman"/>
        </w:rPr>
        <w:t>makes it harder for whole-word processing</w:t>
      </w:r>
      <w:r w:rsidR="00D74C60">
        <w:rPr>
          <w:rFonts w:ascii="Times New Roman" w:eastAsia="Times New Roman" w:hAnsi="Times New Roman" w:cs="Times New Roman"/>
        </w:rPr>
        <w:t xml:space="preserve"> to occur</w:t>
      </w:r>
      <w:r>
        <w:rPr>
          <w:rFonts w:ascii="Times New Roman" w:eastAsia="Times New Roman" w:hAnsi="Times New Roman" w:cs="Times New Roman"/>
        </w:rPr>
        <w:t xml:space="preserve">. </w:t>
      </w:r>
      <w:r w:rsidR="00D74C60">
        <w:rPr>
          <w:rFonts w:ascii="Times New Roman" w:eastAsia="Times New Roman" w:hAnsi="Times New Roman" w:cs="Times New Roman"/>
        </w:rPr>
        <w:t xml:space="preserve">Furthermore, </w:t>
      </w:r>
      <w:r>
        <w:rPr>
          <w:rFonts w:ascii="Times New Roman" w:eastAsia="Times New Roman" w:hAnsi="Times New Roman" w:cs="Times New Roman"/>
        </w:rPr>
        <w:t>the hyphen helps to recognize the end of the first morpheme, when breaking it apart (</w:t>
      </w:r>
      <w:proofErr w:type="spellStart"/>
      <w:r>
        <w:rPr>
          <w:rFonts w:ascii="Times New Roman" w:eastAsia="Times New Roman" w:hAnsi="Times New Roman" w:cs="Times New Roman"/>
        </w:rPr>
        <w:t>Haikio</w:t>
      </w:r>
      <w:proofErr w:type="spellEnd"/>
      <w:r>
        <w:rPr>
          <w:rFonts w:ascii="Times New Roman" w:eastAsia="Times New Roman" w:hAnsi="Times New Roman" w:cs="Times New Roman"/>
        </w:rPr>
        <w:t xml:space="preserve"> et al., 2020). </w:t>
      </w:r>
      <w:r w:rsidR="00D74C60">
        <w:rPr>
          <w:rFonts w:ascii="Times New Roman" w:eastAsia="Times New Roman" w:hAnsi="Times New Roman" w:cs="Times New Roman"/>
        </w:rPr>
        <w:t>Therefore, i</w:t>
      </w:r>
      <w:r>
        <w:rPr>
          <w:rFonts w:ascii="Times New Roman" w:eastAsia="Times New Roman" w:hAnsi="Times New Roman" w:cs="Times New Roman"/>
        </w:rPr>
        <w:t>t may be helpful to use multiple example</w:t>
      </w:r>
      <w:r w:rsidR="00D74C60">
        <w:rPr>
          <w:rFonts w:ascii="Times New Roman" w:eastAsia="Times New Roman" w:hAnsi="Times New Roman" w:cs="Times New Roman"/>
        </w:rPr>
        <w:t xml:space="preserve">s both ways, especially for </w:t>
      </w:r>
      <w:r>
        <w:rPr>
          <w:rFonts w:ascii="Times New Roman" w:eastAsia="Times New Roman" w:hAnsi="Times New Roman" w:cs="Times New Roman"/>
        </w:rPr>
        <w:t>younger students, because it helps them to get an understanding i</w:t>
      </w:r>
      <w:r w:rsidR="00D74C60">
        <w:rPr>
          <w:rFonts w:ascii="Times New Roman" w:eastAsia="Times New Roman" w:hAnsi="Times New Roman" w:cs="Times New Roman"/>
        </w:rPr>
        <w:t>n both ways. A helpful tip would be to</w:t>
      </w:r>
      <w:r>
        <w:rPr>
          <w:rFonts w:ascii="Times New Roman" w:eastAsia="Times New Roman" w:hAnsi="Times New Roman" w:cs="Times New Roman"/>
        </w:rPr>
        <w:t xml:space="preserve"> walk through an example of a </w:t>
      </w:r>
      <w:proofErr w:type="spellStart"/>
      <w:r>
        <w:rPr>
          <w:rFonts w:ascii="Times New Roman" w:eastAsia="Times New Roman" w:hAnsi="Times New Roman" w:cs="Times New Roman"/>
        </w:rPr>
        <w:t>nonhyphenated</w:t>
      </w:r>
      <w:proofErr w:type="spellEnd"/>
      <w:r>
        <w:rPr>
          <w:rFonts w:ascii="Times New Roman" w:eastAsia="Times New Roman" w:hAnsi="Times New Roman" w:cs="Times New Roman"/>
        </w:rPr>
        <w:t xml:space="preserve"> compound word, </w:t>
      </w:r>
      <w:r w:rsidR="00D74C60">
        <w:rPr>
          <w:rFonts w:ascii="Times New Roman" w:eastAsia="Times New Roman" w:hAnsi="Times New Roman" w:cs="Times New Roman"/>
        </w:rPr>
        <w:t xml:space="preserve">so the students </w:t>
      </w:r>
      <w:r>
        <w:rPr>
          <w:rFonts w:ascii="Times New Roman" w:eastAsia="Times New Roman" w:hAnsi="Times New Roman" w:cs="Times New Roman"/>
        </w:rPr>
        <w:t xml:space="preserve">can see how it was broken down and may be more confident to try it on their own and/or with a partner. </w:t>
      </w:r>
    </w:p>
    <w:p w:rsidR="005E123E" w:rsidRDefault="005E123E">
      <w:pPr>
        <w:rPr>
          <w:rFonts w:ascii="Times New Roman" w:eastAsia="Times New Roman" w:hAnsi="Times New Roman" w:cs="Times New Roman"/>
        </w:rPr>
      </w:pPr>
    </w:p>
    <w:p w:rsidR="005E123E" w:rsidRDefault="002F18F5">
      <w:pPr>
        <w:spacing w:line="259" w:lineRule="auto"/>
        <w:rPr>
          <w:rFonts w:ascii="Times New Roman" w:eastAsia="Times New Roman" w:hAnsi="Times New Roman" w:cs="Times New Roman"/>
        </w:rPr>
      </w:pPr>
      <w:r>
        <w:rPr>
          <w:rFonts w:ascii="Times New Roman" w:eastAsia="Times New Roman" w:hAnsi="Times New Roman" w:cs="Times New Roman"/>
          <w:b/>
        </w:rPr>
        <w:t>Science of Reading connection</w:t>
      </w:r>
      <w:r>
        <w:rPr>
          <w:rFonts w:ascii="Times New Roman" w:eastAsia="Times New Roman" w:hAnsi="Times New Roman" w:cs="Times New Roman"/>
        </w:rPr>
        <w:t xml:space="preserve">: The connection that this strategy has with the Science of Reading </w:t>
      </w:r>
      <w:proofErr w:type="gramStart"/>
      <w:r>
        <w:rPr>
          <w:rFonts w:ascii="Times New Roman" w:eastAsia="Times New Roman" w:hAnsi="Times New Roman" w:cs="Times New Roman"/>
        </w:rPr>
        <w:t>is related</w:t>
      </w:r>
      <w:proofErr w:type="gramEnd"/>
      <w:r>
        <w:rPr>
          <w:rFonts w:ascii="Times New Roman" w:eastAsia="Times New Roman" w:hAnsi="Times New Roman" w:cs="Times New Roman"/>
        </w:rPr>
        <w:t xml:space="preserve"> to Scarborough's Reading Rope. The Reading Rope is a tool used by educators to help students to be skilled readers</w:t>
      </w:r>
      <w:r w:rsidR="00B335FC">
        <w:rPr>
          <w:rFonts w:ascii="Times New Roman" w:eastAsia="Times New Roman" w:hAnsi="Times New Roman" w:cs="Times New Roman"/>
        </w:rPr>
        <w:t xml:space="preserve"> (Scarborough, 2001)</w:t>
      </w:r>
      <w:bookmarkStart w:id="0" w:name="_GoBack"/>
      <w:bookmarkEnd w:id="0"/>
      <w:r>
        <w:rPr>
          <w:rFonts w:ascii="Times New Roman" w:eastAsia="Times New Roman" w:hAnsi="Times New Roman" w:cs="Times New Roman"/>
        </w:rPr>
        <w:t xml:space="preserve">. This strategy, Combine Word Patterns to Build Compound Words, links with the rope under Word Recognition. This strategy helps students with Decoding and Sight Recognition in the way that it breaks a compound word down into parts that help them to read the word more clearly, understand the meaning of it, and to better know how to read the word, and similar types of words, in the future. </w:t>
      </w:r>
    </w:p>
    <w:p w:rsidR="005E123E" w:rsidRDefault="005E123E">
      <w:pPr>
        <w:spacing w:line="360" w:lineRule="auto"/>
        <w:rPr>
          <w:rFonts w:ascii="Times New Roman" w:eastAsia="Times New Roman" w:hAnsi="Times New Roman" w:cs="Times New Roman"/>
        </w:rPr>
      </w:pPr>
      <w:bookmarkStart w:id="1" w:name="_gjdgxs" w:colFirst="0" w:colLast="0"/>
      <w:bookmarkEnd w:id="1"/>
    </w:p>
    <w:p w:rsidR="005E123E" w:rsidRDefault="002F18F5">
      <w:pPr>
        <w:spacing w:line="360" w:lineRule="auto"/>
        <w:rPr>
          <w:rFonts w:ascii="Times New Roman" w:eastAsia="Times New Roman" w:hAnsi="Times New Roman" w:cs="Times New Roman"/>
        </w:rPr>
      </w:pPr>
      <w:r>
        <w:rPr>
          <w:rFonts w:ascii="Times New Roman" w:eastAsia="Times New Roman" w:hAnsi="Times New Roman" w:cs="Times New Roman"/>
        </w:rPr>
        <w:t>Date:                                                                                   Activity/Class:</w:t>
      </w:r>
    </w:p>
    <w:tbl>
      <w:tblPr>
        <w:tblStyle w:val="a"/>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20"/>
        <w:gridCol w:w="630"/>
        <w:gridCol w:w="3600"/>
      </w:tblGrid>
      <w:tr w:rsidR="005E123E">
        <w:tc>
          <w:tcPr>
            <w:tcW w:w="5670" w:type="dxa"/>
            <w:shd w:val="clear" w:color="auto" w:fill="D9D9D9"/>
          </w:tcPr>
          <w:p w:rsidR="005E123E" w:rsidRDefault="002F18F5">
            <w:pPr>
              <w:spacing w:line="259" w:lineRule="auto"/>
              <w:rPr>
                <w:rFonts w:ascii="Times New Roman" w:eastAsia="Times New Roman" w:hAnsi="Times New Roman" w:cs="Times New Roman"/>
                <w:b/>
              </w:rPr>
            </w:pPr>
            <w:r>
              <w:rPr>
                <w:rFonts w:ascii="Times New Roman" w:eastAsia="Times New Roman" w:hAnsi="Times New Roman" w:cs="Times New Roman"/>
                <w:b/>
              </w:rPr>
              <w:t>Combine Word Patterns to Build Compound Words</w:t>
            </w:r>
          </w:p>
        </w:tc>
        <w:tc>
          <w:tcPr>
            <w:tcW w:w="720" w:type="dxa"/>
            <w:shd w:val="clear" w:color="auto" w:fill="D9D9D9"/>
          </w:tcPr>
          <w:p w:rsidR="005E123E" w:rsidRDefault="002F18F5">
            <w:pPr>
              <w:rPr>
                <w:rFonts w:ascii="Times New Roman" w:eastAsia="Times New Roman" w:hAnsi="Times New Roman" w:cs="Times New Roman"/>
                <w:b/>
              </w:rPr>
            </w:pPr>
            <w:r>
              <w:rPr>
                <w:rFonts w:ascii="Times New Roman" w:eastAsia="Times New Roman" w:hAnsi="Times New Roman" w:cs="Times New Roman"/>
                <w:b/>
              </w:rPr>
              <w:t>YES</w:t>
            </w:r>
          </w:p>
        </w:tc>
        <w:tc>
          <w:tcPr>
            <w:tcW w:w="630" w:type="dxa"/>
            <w:shd w:val="clear" w:color="auto" w:fill="D9D9D9"/>
          </w:tcPr>
          <w:p w:rsidR="005E123E" w:rsidRDefault="002F18F5">
            <w:pPr>
              <w:rPr>
                <w:rFonts w:ascii="Times New Roman" w:eastAsia="Times New Roman" w:hAnsi="Times New Roman" w:cs="Times New Roman"/>
                <w:b/>
              </w:rPr>
            </w:pPr>
            <w:r>
              <w:rPr>
                <w:rFonts w:ascii="Times New Roman" w:eastAsia="Times New Roman" w:hAnsi="Times New Roman" w:cs="Times New Roman"/>
                <w:b/>
              </w:rPr>
              <w:t>NO</w:t>
            </w:r>
          </w:p>
        </w:tc>
        <w:tc>
          <w:tcPr>
            <w:tcW w:w="3600" w:type="dxa"/>
            <w:shd w:val="clear" w:color="auto" w:fill="D9D9D9"/>
          </w:tcPr>
          <w:p w:rsidR="005E123E" w:rsidRDefault="002F18F5">
            <w:pPr>
              <w:rPr>
                <w:rFonts w:ascii="Times New Roman" w:eastAsia="Times New Roman" w:hAnsi="Times New Roman" w:cs="Times New Roman"/>
                <w:b/>
              </w:rPr>
            </w:pPr>
            <w:r>
              <w:rPr>
                <w:rFonts w:ascii="Times New Roman" w:eastAsia="Times New Roman" w:hAnsi="Times New Roman" w:cs="Times New Roman"/>
                <w:b/>
              </w:rPr>
              <w:t>COMMENTS</w:t>
            </w:r>
          </w:p>
        </w:tc>
      </w:tr>
      <w:tr w:rsidR="005E123E">
        <w:trPr>
          <w:trHeight w:val="360"/>
        </w:trPr>
        <w:tc>
          <w:tcPr>
            <w:tcW w:w="5670" w:type="dxa"/>
          </w:tcPr>
          <w:p w:rsidR="005E123E" w:rsidRDefault="002F18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Have the students turn to a partner or work one-on-one with another student.</w:t>
            </w:r>
          </w:p>
        </w:tc>
        <w:tc>
          <w:tcPr>
            <w:tcW w:w="720" w:type="dxa"/>
          </w:tcPr>
          <w:p w:rsidR="005E123E" w:rsidRDefault="005E123E">
            <w:pPr>
              <w:rPr>
                <w:rFonts w:ascii="Times New Roman" w:eastAsia="Times New Roman" w:hAnsi="Times New Roman" w:cs="Times New Roman"/>
              </w:rPr>
            </w:pPr>
          </w:p>
        </w:tc>
        <w:tc>
          <w:tcPr>
            <w:tcW w:w="630" w:type="dxa"/>
          </w:tcPr>
          <w:p w:rsidR="005E123E" w:rsidRDefault="005E123E">
            <w:pPr>
              <w:rPr>
                <w:rFonts w:ascii="Times New Roman" w:eastAsia="Times New Roman" w:hAnsi="Times New Roman" w:cs="Times New Roman"/>
              </w:rPr>
            </w:pPr>
          </w:p>
        </w:tc>
        <w:tc>
          <w:tcPr>
            <w:tcW w:w="3600" w:type="dxa"/>
          </w:tcPr>
          <w:p w:rsidR="005E123E" w:rsidRDefault="005E123E">
            <w:pPr>
              <w:rPr>
                <w:rFonts w:ascii="Times New Roman" w:eastAsia="Times New Roman" w:hAnsi="Times New Roman" w:cs="Times New Roman"/>
              </w:rPr>
            </w:pPr>
          </w:p>
        </w:tc>
      </w:tr>
      <w:tr w:rsidR="005E123E">
        <w:trPr>
          <w:trHeight w:val="360"/>
        </w:trPr>
        <w:tc>
          <w:tcPr>
            <w:tcW w:w="5670" w:type="dxa"/>
          </w:tcPr>
          <w:p w:rsidR="005E123E" w:rsidRDefault="002F18F5">
            <w:pPr>
              <w:pBdr>
                <w:top w:val="nil"/>
                <w:left w:val="nil"/>
                <w:bottom w:val="nil"/>
                <w:right w:val="nil"/>
                <w:between w:val="nil"/>
              </w:pBdr>
              <w:rPr>
                <w:rFonts w:ascii="Times New Roman" w:eastAsia="Times New Roman" w:hAnsi="Times New Roman" w:cs="Times New Roman"/>
                <w:color w:val="456874"/>
              </w:rPr>
            </w:pPr>
            <w:r>
              <w:rPr>
                <w:rFonts w:ascii="Times New Roman" w:eastAsia="Times New Roman" w:hAnsi="Times New Roman" w:cs="Times New Roman"/>
              </w:rPr>
              <w:t xml:space="preserve">2. </w:t>
            </w:r>
            <w:r>
              <w:rPr>
                <w:rFonts w:ascii="Times New Roman" w:eastAsia="Times New Roman" w:hAnsi="Times New Roman" w:cs="Times New Roman"/>
                <w:color w:val="000000"/>
              </w:rPr>
              <w:t>Gather a list of compound words or gather compound words from a given text to give to the student(s).</w:t>
            </w:r>
          </w:p>
        </w:tc>
        <w:tc>
          <w:tcPr>
            <w:tcW w:w="720" w:type="dxa"/>
          </w:tcPr>
          <w:p w:rsidR="005E123E" w:rsidRDefault="005E123E">
            <w:pPr>
              <w:rPr>
                <w:rFonts w:ascii="Times New Roman" w:eastAsia="Times New Roman" w:hAnsi="Times New Roman" w:cs="Times New Roman"/>
              </w:rPr>
            </w:pPr>
          </w:p>
        </w:tc>
        <w:tc>
          <w:tcPr>
            <w:tcW w:w="630" w:type="dxa"/>
          </w:tcPr>
          <w:p w:rsidR="005E123E" w:rsidRDefault="005E123E">
            <w:pPr>
              <w:rPr>
                <w:rFonts w:ascii="Times New Roman" w:eastAsia="Times New Roman" w:hAnsi="Times New Roman" w:cs="Times New Roman"/>
              </w:rPr>
            </w:pPr>
          </w:p>
        </w:tc>
        <w:tc>
          <w:tcPr>
            <w:tcW w:w="3600" w:type="dxa"/>
          </w:tcPr>
          <w:p w:rsidR="005E123E" w:rsidRDefault="005E123E">
            <w:pPr>
              <w:rPr>
                <w:rFonts w:ascii="Times New Roman" w:eastAsia="Times New Roman" w:hAnsi="Times New Roman" w:cs="Times New Roman"/>
              </w:rPr>
            </w:pPr>
          </w:p>
        </w:tc>
      </w:tr>
      <w:tr w:rsidR="005E123E">
        <w:trPr>
          <w:trHeight w:val="360"/>
        </w:trPr>
        <w:tc>
          <w:tcPr>
            <w:tcW w:w="5670" w:type="dxa"/>
          </w:tcPr>
          <w:p w:rsidR="005E123E" w:rsidRDefault="002F18F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3. Have student(s) break apart the compound word into its units that can </w:t>
            </w:r>
            <w:proofErr w:type="gramStart"/>
            <w:r>
              <w:rPr>
                <w:rFonts w:ascii="Times New Roman" w:eastAsia="Times New Roman" w:hAnsi="Times New Roman" w:cs="Times New Roman"/>
              </w:rPr>
              <w:t>stand alone</w:t>
            </w:r>
            <w:proofErr w:type="gramEnd"/>
            <w:r>
              <w:rPr>
                <w:rFonts w:ascii="Times New Roman" w:eastAsia="Times New Roman" w:hAnsi="Times New Roman" w:cs="Times New Roman"/>
              </w:rPr>
              <w:t xml:space="preserve"> and define each part.</w:t>
            </w:r>
          </w:p>
        </w:tc>
        <w:tc>
          <w:tcPr>
            <w:tcW w:w="720" w:type="dxa"/>
          </w:tcPr>
          <w:p w:rsidR="005E123E" w:rsidRDefault="005E123E">
            <w:pPr>
              <w:rPr>
                <w:rFonts w:ascii="Times New Roman" w:eastAsia="Times New Roman" w:hAnsi="Times New Roman" w:cs="Times New Roman"/>
              </w:rPr>
            </w:pPr>
          </w:p>
        </w:tc>
        <w:tc>
          <w:tcPr>
            <w:tcW w:w="630" w:type="dxa"/>
          </w:tcPr>
          <w:p w:rsidR="005E123E" w:rsidRDefault="005E123E">
            <w:pPr>
              <w:rPr>
                <w:rFonts w:ascii="Times New Roman" w:eastAsia="Times New Roman" w:hAnsi="Times New Roman" w:cs="Times New Roman"/>
              </w:rPr>
            </w:pPr>
          </w:p>
        </w:tc>
        <w:tc>
          <w:tcPr>
            <w:tcW w:w="3600" w:type="dxa"/>
          </w:tcPr>
          <w:p w:rsidR="005E123E" w:rsidRDefault="005E123E">
            <w:pPr>
              <w:rPr>
                <w:rFonts w:ascii="Times New Roman" w:eastAsia="Times New Roman" w:hAnsi="Times New Roman" w:cs="Times New Roman"/>
              </w:rPr>
            </w:pPr>
          </w:p>
        </w:tc>
      </w:tr>
      <w:tr w:rsidR="005E123E">
        <w:trPr>
          <w:trHeight w:val="360"/>
        </w:trPr>
        <w:tc>
          <w:tcPr>
            <w:tcW w:w="5670" w:type="dxa"/>
          </w:tcPr>
          <w:p w:rsidR="005E123E" w:rsidRDefault="002F18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4. </w:t>
            </w:r>
            <w:r>
              <w:rPr>
                <w:rFonts w:ascii="Times New Roman" w:eastAsia="Times New Roman" w:hAnsi="Times New Roman" w:cs="Times New Roman"/>
                <w:color w:val="000000"/>
              </w:rPr>
              <w:t>Have the student(s) recognize what patterns they notice in these words that help them understand the structure and comprehension.</w:t>
            </w:r>
            <w:r>
              <w:tab/>
            </w:r>
            <w:r>
              <w:tab/>
            </w:r>
            <w:r>
              <w:tab/>
            </w:r>
            <w:r>
              <w:tab/>
            </w:r>
          </w:p>
        </w:tc>
        <w:tc>
          <w:tcPr>
            <w:tcW w:w="720" w:type="dxa"/>
          </w:tcPr>
          <w:p w:rsidR="005E123E" w:rsidRDefault="005E123E">
            <w:pPr>
              <w:rPr>
                <w:rFonts w:ascii="Times New Roman" w:eastAsia="Times New Roman" w:hAnsi="Times New Roman" w:cs="Times New Roman"/>
              </w:rPr>
            </w:pPr>
          </w:p>
        </w:tc>
        <w:tc>
          <w:tcPr>
            <w:tcW w:w="630" w:type="dxa"/>
          </w:tcPr>
          <w:p w:rsidR="005E123E" w:rsidRDefault="005E123E">
            <w:pPr>
              <w:rPr>
                <w:rFonts w:ascii="Times New Roman" w:eastAsia="Times New Roman" w:hAnsi="Times New Roman" w:cs="Times New Roman"/>
              </w:rPr>
            </w:pPr>
          </w:p>
        </w:tc>
        <w:tc>
          <w:tcPr>
            <w:tcW w:w="3600" w:type="dxa"/>
          </w:tcPr>
          <w:p w:rsidR="005E123E" w:rsidRDefault="005E123E">
            <w:pPr>
              <w:rPr>
                <w:rFonts w:ascii="Times New Roman" w:eastAsia="Times New Roman" w:hAnsi="Times New Roman" w:cs="Times New Roman"/>
              </w:rPr>
            </w:pPr>
          </w:p>
        </w:tc>
      </w:tr>
      <w:tr w:rsidR="005E123E">
        <w:trPr>
          <w:trHeight w:val="360"/>
        </w:trPr>
        <w:tc>
          <w:tcPr>
            <w:tcW w:w="5670" w:type="dxa"/>
          </w:tcPr>
          <w:p w:rsidR="005E123E" w:rsidRDefault="002F18F5">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5. Student(s) will apply this recognition of each part after they put the word into its original form, to help understand and decode the full word.</w:t>
            </w:r>
          </w:p>
        </w:tc>
        <w:tc>
          <w:tcPr>
            <w:tcW w:w="720" w:type="dxa"/>
          </w:tcPr>
          <w:p w:rsidR="005E123E" w:rsidRDefault="005E123E">
            <w:pPr>
              <w:rPr>
                <w:rFonts w:ascii="Times New Roman" w:eastAsia="Times New Roman" w:hAnsi="Times New Roman" w:cs="Times New Roman"/>
              </w:rPr>
            </w:pPr>
          </w:p>
        </w:tc>
        <w:tc>
          <w:tcPr>
            <w:tcW w:w="630" w:type="dxa"/>
          </w:tcPr>
          <w:p w:rsidR="005E123E" w:rsidRDefault="005E123E">
            <w:pPr>
              <w:rPr>
                <w:rFonts w:ascii="Times New Roman" w:eastAsia="Times New Roman" w:hAnsi="Times New Roman" w:cs="Times New Roman"/>
              </w:rPr>
            </w:pPr>
          </w:p>
        </w:tc>
        <w:tc>
          <w:tcPr>
            <w:tcW w:w="3600" w:type="dxa"/>
          </w:tcPr>
          <w:p w:rsidR="005E123E" w:rsidRDefault="005E123E">
            <w:pPr>
              <w:rPr>
                <w:rFonts w:ascii="Times New Roman" w:eastAsia="Times New Roman" w:hAnsi="Times New Roman" w:cs="Times New Roman"/>
              </w:rPr>
            </w:pPr>
          </w:p>
        </w:tc>
      </w:tr>
      <w:tr w:rsidR="005E123E">
        <w:trPr>
          <w:trHeight w:val="360"/>
        </w:trPr>
        <w:tc>
          <w:tcPr>
            <w:tcW w:w="10620" w:type="dxa"/>
            <w:gridSpan w:val="4"/>
            <w:shd w:val="clear" w:color="auto" w:fill="D9D9D9"/>
            <w:vAlign w:val="center"/>
          </w:tcPr>
          <w:p w:rsidR="005E123E" w:rsidRDefault="005E123E">
            <w:pPr>
              <w:rPr>
                <w:rFonts w:ascii="Times New Roman" w:eastAsia="Times New Roman" w:hAnsi="Times New Roman" w:cs="Times New Roman"/>
              </w:rPr>
            </w:pPr>
          </w:p>
        </w:tc>
      </w:tr>
      <w:tr w:rsidR="005E123E">
        <w:trPr>
          <w:trHeight w:val="360"/>
        </w:trPr>
        <w:tc>
          <w:tcPr>
            <w:tcW w:w="5670" w:type="dxa"/>
            <w:vAlign w:val="center"/>
          </w:tcPr>
          <w:p w:rsidR="005E123E" w:rsidRDefault="002F18F5">
            <w:pPr>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950" w:type="dxa"/>
            <w:gridSpan w:val="3"/>
          </w:tcPr>
          <w:p w:rsidR="005E123E" w:rsidRDefault="005E123E">
            <w:pPr>
              <w:rPr>
                <w:rFonts w:ascii="Times New Roman" w:eastAsia="Times New Roman" w:hAnsi="Times New Roman" w:cs="Times New Roman"/>
              </w:rPr>
            </w:pPr>
          </w:p>
        </w:tc>
      </w:tr>
      <w:tr w:rsidR="005E123E">
        <w:trPr>
          <w:trHeight w:val="360"/>
        </w:trPr>
        <w:tc>
          <w:tcPr>
            <w:tcW w:w="5670" w:type="dxa"/>
            <w:vAlign w:val="center"/>
          </w:tcPr>
          <w:p w:rsidR="005E123E" w:rsidRDefault="002F18F5">
            <w:pPr>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950" w:type="dxa"/>
            <w:gridSpan w:val="3"/>
          </w:tcPr>
          <w:p w:rsidR="005E123E" w:rsidRDefault="005E123E">
            <w:pPr>
              <w:rPr>
                <w:rFonts w:ascii="Times New Roman" w:eastAsia="Times New Roman" w:hAnsi="Times New Roman" w:cs="Times New Roman"/>
              </w:rPr>
            </w:pPr>
          </w:p>
        </w:tc>
      </w:tr>
    </w:tbl>
    <w:p w:rsidR="005E123E" w:rsidRDefault="005E123E">
      <w:pPr>
        <w:rPr>
          <w:rFonts w:ascii="Times New Roman" w:eastAsia="Times New Roman" w:hAnsi="Times New Roman" w:cs="Times New Roman"/>
        </w:rPr>
      </w:pPr>
    </w:p>
    <w:p w:rsidR="005E123E" w:rsidRDefault="005E123E">
      <w:pPr>
        <w:rPr>
          <w:rFonts w:ascii="Times New Roman" w:eastAsia="Times New Roman" w:hAnsi="Times New Roman" w:cs="Times New Roman"/>
        </w:rPr>
      </w:pPr>
    </w:p>
    <w:tbl>
      <w:tblPr>
        <w:tblStyle w:val="a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800"/>
      </w:tblGrid>
      <w:tr w:rsidR="005E123E">
        <w:trPr>
          <w:trHeight w:val="5505"/>
        </w:trPr>
        <w:tc>
          <w:tcPr>
            <w:tcW w:w="10800" w:type="dxa"/>
          </w:tcPr>
          <w:p w:rsidR="005E123E" w:rsidRDefault="002F18F5">
            <w:pPr>
              <w:rPr>
                <w:rFonts w:ascii="Times New Roman" w:eastAsia="Times New Roman" w:hAnsi="Times New Roman" w:cs="Times New Roman"/>
              </w:rPr>
            </w:pPr>
            <w:r>
              <w:rPr>
                <w:rFonts w:ascii="Times New Roman" w:eastAsia="Times New Roman" w:hAnsi="Times New Roman" w:cs="Times New Roman"/>
              </w:rPr>
              <w:lastRenderedPageBreak/>
              <w:t>Additional notes or comments:</w:t>
            </w:r>
          </w:p>
        </w:tc>
      </w:tr>
    </w:tbl>
    <w:p w:rsidR="005E123E" w:rsidRDefault="005E123E">
      <w:pPr>
        <w:widowControl w:val="0"/>
        <w:pBdr>
          <w:top w:val="nil"/>
          <w:left w:val="nil"/>
          <w:bottom w:val="nil"/>
          <w:right w:val="nil"/>
          <w:between w:val="nil"/>
        </w:pBdr>
        <w:spacing w:line="276" w:lineRule="auto"/>
        <w:rPr>
          <w:rFonts w:ascii="Times New Roman" w:eastAsia="Times New Roman" w:hAnsi="Times New Roman" w:cs="Times New Roman"/>
        </w:rPr>
      </w:pPr>
    </w:p>
    <w:sectPr w:rsidR="005E123E">
      <w:headerReference w:type="default" r:id="rId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F9" w:rsidRDefault="002653F9">
      <w:r>
        <w:separator/>
      </w:r>
    </w:p>
  </w:endnote>
  <w:endnote w:type="continuationSeparator" w:id="0">
    <w:p w:rsidR="002653F9" w:rsidRDefault="0026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F9" w:rsidRDefault="002653F9">
      <w:r>
        <w:separator/>
      </w:r>
    </w:p>
  </w:footnote>
  <w:footnote w:type="continuationSeparator" w:id="0">
    <w:p w:rsidR="002653F9" w:rsidRDefault="0026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23E" w:rsidRDefault="005E12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3E"/>
    <w:rsid w:val="002653F9"/>
    <w:rsid w:val="002F18F5"/>
    <w:rsid w:val="005E123E"/>
    <w:rsid w:val="00750A6C"/>
    <w:rsid w:val="009636FF"/>
    <w:rsid w:val="00B335FC"/>
    <w:rsid w:val="00D7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F089"/>
  <w15:docId w15:val="{775B7997-60B5-47C4-8FBB-7B0C0D3F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Reister</dc:creator>
  <cp:lastModifiedBy>Dr. Megan Reister</cp:lastModifiedBy>
  <cp:revision>5</cp:revision>
  <dcterms:created xsi:type="dcterms:W3CDTF">2022-01-14T21:56:00Z</dcterms:created>
  <dcterms:modified xsi:type="dcterms:W3CDTF">2022-01-15T14:04:00Z</dcterms:modified>
</cp:coreProperties>
</file>